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Осенний семестр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2023-2024 </w:t>
      </w:r>
      <w:r>
        <w:rPr>
          <w:b w:val="1"/>
          <w:bCs w:val="1"/>
          <w:sz w:val="20"/>
          <w:szCs w:val="20"/>
          <w:rtl w:val="0"/>
          <w:lang w:val="ru-RU"/>
        </w:rPr>
        <w:t>учебного года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Образовательная программа </w:t>
      </w:r>
      <w:r>
        <w:rPr>
          <w:b w:val="1"/>
          <w:bCs w:val="1"/>
          <w:sz w:val="20"/>
          <w:szCs w:val="20"/>
          <w:rtl w:val="0"/>
          <w:lang w:val="ru-RU"/>
        </w:rPr>
        <w:t>6</w:t>
      </w:r>
      <w:r>
        <w:rPr>
          <w:b w:val="1"/>
          <w:bCs w:val="1"/>
          <w:sz w:val="20"/>
          <w:szCs w:val="20"/>
          <w:rtl w:val="0"/>
          <w:lang w:val="ru-RU"/>
        </w:rPr>
        <w:t>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04205 </w:t>
      </w:r>
      <w:r>
        <w:rPr>
          <w:b w:val="1"/>
          <w:bCs w:val="1"/>
          <w:sz w:val="20"/>
          <w:szCs w:val="20"/>
          <w:rtl w:val="0"/>
          <w:lang w:val="ru-RU"/>
        </w:rPr>
        <w:t>– «Юриспруденция»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6</w:t>
      </w:r>
      <w:r>
        <w:rPr>
          <w:b w:val="1"/>
          <w:bCs w:val="1"/>
          <w:sz w:val="20"/>
          <w:szCs w:val="20"/>
          <w:rtl w:val="0"/>
          <w:lang w:val="ru-RU"/>
        </w:rPr>
        <w:t>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12301 </w:t>
      </w:r>
      <w:r>
        <w:rPr>
          <w:b w:val="1"/>
          <w:bCs w:val="1"/>
          <w:sz w:val="20"/>
          <w:szCs w:val="20"/>
          <w:rtl w:val="0"/>
          <w:lang w:val="ru-RU"/>
        </w:rPr>
        <w:t>– «Правоохранительная деятельность»</w:t>
      </w:r>
    </w:p>
    <w:p>
      <w:pPr>
        <w:pStyle w:val="Normal.0"/>
        <w:rPr>
          <w:b w:val="1"/>
          <w:bCs w:val="1"/>
          <w:sz w:val="20"/>
          <w:szCs w:val="20"/>
        </w:rPr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5"/>
        <w:gridCol w:w="1137"/>
        <w:gridCol w:w="886"/>
        <w:gridCol w:w="884"/>
        <w:gridCol w:w="1010"/>
        <w:gridCol w:w="632"/>
        <w:gridCol w:w="1263"/>
        <w:gridCol w:w="202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ID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наименование дисциплины</w:t>
            </w:r>
          </w:p>
        </w:tc>
        <w:tc>
          <w:tcPr>
            <w:tcW w:type="dxa" w:w="202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52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во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кредитов </w:t>
            </w:r>
          </w:p>
        </w:tc>
        <w:tc>
          <w:tcPr>
            <w:tcW w:type="dxa" w:w="12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Общее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20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под руководством преподавателя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СРОП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8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Лекции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1108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; P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OP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K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1111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OP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K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2106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OP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K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Правовые основы</w:t>
            </w:r>
            <w:r>
              <w:rPr>
                <w:b w:val="1"/>
                <w:bCs w:val="1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</w:p>
        </w:tc>
        <w:tc>
          <w:tcPr>
            <w:tcW w:type="dxa" w:w="20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clear" w:color="auto" w:fill="ffffff"/>
                <w:rtl w:val="0"/>
                <w:lang w:val="ru-RU"/>
              </w:rPr>
              <w:t>7</w:t>
            </w:r>
          </w:p>
        </w:tc>
        <w:tc>
          <w:tcPr>
            <w:tcW w:type="dxa" w:w="8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1,70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3.30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-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ИНФОРМАЦИЯ О ДИСЦИПЛИНЕ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Формат обучения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Цикл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компонент</w:t>
            </w:r>
          </w:p>
        </w:tc>
        <w:tc>
          <w:tcPr>
            <w:tcW w:type="dxa" w:w="17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практических занятий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 и платформа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 контроля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Офлайн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Цикл базовыых дисциплин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вузовый компонент</w:t>
            </w:r>
          </w:p>
        </w:tc>
        <w:tc>
          <w:tcPr>
            <w:tcW w:type="dxa" w:w="17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Вводная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Обзорная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 диалог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визуализация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 задач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8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Система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тест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Лектор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rtl w:val="0"/>
                <w:lang w:val="ru-RU"/>
              </w:rPr>
              <w:t>старший</w:t>
            </w: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rtl w:val="0"/>
                <w:lang w:val="ru-RU"/>
              </w:rPr>
              <w:t>преподаватель</w:t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87011002284</w:t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Ергали Адлет Маратұлы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5" w:lineRule="exact"/>
              <w:ind w:left="1852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"mailto:yergali.adlet@gmail.com"</w:instrText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</w:t>
            </w:r>
            <w:r>
              <w:rPr>
                <w:rStyle w:val="Hyperlink.1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ergali.adlet@gmail.com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+77017377763</w:t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ПРЕЗЕНТАЦИЯ ДИСЦИПЛИНЫ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 дисциплины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Ожидаемые результаты обучения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</w:rPr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Ознакомить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студентов с действующей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антикоррупционной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политикой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основными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коррупционными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преступными правонарушени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ями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совершаемыми в стране и</w:t>
              <w:tab/>
              <w:t xml:space="preserve"> мерами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противодействия им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Кроме того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студенты изучают на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курсах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зарубежный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опыт </w:t>
            </w:r>
          </w:p>
          <w:p>
            <w:pPr>
              <w:pStyle w:val="Normal.0"/>
              <w:jc w:val="both"/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противодействия коррупции и деятельность международных антикоррупционных 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когнитивный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Понимать</w:t>
            </w:r>
            <w:r>
              <w:rPr>
                <w:rStyle w:val="Нет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что</w:t>
            </w:r>
            <w:r>
              <w:rPr>
                <w:rStyle w:val="Нет"/>
                <w:spacing w:val="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такое</w:t>
            </w:r>
            <w:r>
              <w:rPr>
                <w:rStyle w:val="Нет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коррупция</w:t>
            </w:r>
            <w:r>
              <w:rPr>
                <w:rStyle w:val="Нет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Нет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представлять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ее негативные последствия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Понимание</w:t>
            </w:r>
            <w:r>
              <w:rPr>
                <w:rStyle w:val="Нет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сущности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23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Представление  </w:t>
            </w:r>
            <w:r>
              <w:rPr>
                <w:rStyle w:val="Нет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негативных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Иметь представление об основных коррупционных правонарушениях и виды ответственности за их совершение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Знание</w:t>
              <w:tab/>
              <w:t>коррупционных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8"/>
                <w:tab w:val="left" w:pos="3324"/>
              </w:tabs>
              <w:suppressAutoHyphens w:val="0"/>
              <w:bidi w:val="0"/>
              <w:spacing w:before="0" w:after="0" w:line="230" w:lineRule="atLeast"/>
              <w:ind w:left="110" w:right="104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уголовных</w:t>
              <w:tab/>
              <w:t>правонарушений</w:t>
              <w:tab/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санкции за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их совершение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pacing w:val="1"/>
                <w:sz w:val="20"/>
                <w:szCs w:val="20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Разграничение</w:t>
            </w:r>
            <w:r>
              <w:rPr>
                <w:rStyle w:val="Нет"/>
                <w:spacing w:val="1"/>
                <w:sz w:val="20"/>
                <w:szCs w:val="20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уголовные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от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коррупционных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административных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Ориентироваться</w:t>
              <w:tab/>
              <w:t>в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основных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мера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х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Классификация</w:t>
              <w:tab/>
              <w:t>мер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Ориентирование в</w:t>
            </w:r>
          </w:p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нормативных правовых актах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касающихся</w:t>
              <w:tab/>
              <w:t>вопросов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Анализировать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основные причины совершения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коррупции в</w:t>
            </w:r>
            <w:r>
              <w:rPr>
                <w:rStyle w:val="Нет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Казахстане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Определение</w:t>
            </w: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основных причин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Предложение</w:t>
              <w:tab/>
              <w:t>мер</w:t>
              <w:tab/>
              <w:t>по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 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системный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Знать</w:t>
            </w:r>
            <w:r>
              <w:rPr>
                <w:rStyle w:val="Нет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международный</w:t>
            </w:r>
            <w:r>
              <w:rPr>
                <w:rStyle w:val="Нет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5.1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Иметь</w:t>
              <w:tab/>
              <w:t>представление</w:t>
              <w:tab/>
            </w:r>
            <w:r>
              <w:rPr>
                <w:rStyle w:val="Нет"/>
                <w:spacing w:val="0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деятельности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международных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2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Анализировать</w:t>
            </w:r>
            <w:r>
              <w:rPr>
                <w:rStyle w:val="Нет"/>
                <w:spacing w:val="4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национальное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законодательство</w:t>
              <w:tab/>
              <w:t>с</w:t>
              <w:tab/>
              <w:t>зарубежным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законодательством</w:t>
              <w:tab/>
              <w:t>по</w:t>
            </w:r>
          </w:p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вопросам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противодействия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78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UPRK 2205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общая часть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 UPRK2212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особенная части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Krim 3214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APRK 2206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8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PORK1202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OKUP3220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квалификации преступлений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TSD 4305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Теория судебных доказательств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PN 4304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APRK3219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Адвокатское право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35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Учебные ресурсы</w:t>
            </w:r>
          </w:p>
        </w:tc>
        <w:tc>
          <w:tcPr>
            <w:tcW w:type="dxa" w:w="78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25" w:lineRule="exact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Уголовное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кодекс РК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июля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2014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-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Алматы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ЮРИСТ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2022.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208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20" w:after="0" w:line="254" w:lineRule="auto"/>
              <w:ind w:right="94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Комментарий к Уголовному кодексу Республики Казахстан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Под ред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Даулбаева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-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Алматы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2015.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- 500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2" w:after="0" w:line="254" w:lineRule="auto"/>
              <w:ind w:right="98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Противодействие коррупции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учебное пособие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составители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Межведилов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Бакулина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Антонов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Талан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Ю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Виноградова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Гильфанова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-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Казань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Казань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2016. - 192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3" w:after="0" w:line="256" w:lineRule="auto"/>
              <w:ind w:right="101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Основы антикоррупционной культуры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учебное пособие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общей редакцией руководил д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профессор Б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Абдрасилов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 Астана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Академия государственного управления при Президенте Республики Казахстан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2016.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- 176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102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Противостояние коррупции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новые вызовы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Иванов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Я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Хабриева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Ю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Чиханчин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 др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.];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ред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Хабриева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 М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Институт законодательства и сравнительного права При Правительстве Российской Федерации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ИНФРА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2016. - 384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Пименов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Обеспечение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противодействия коррупции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 М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.,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2018.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238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1547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Годунов 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Противодействие коррупции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-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Учебник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 М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., 2019. - 730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Интернет ресурсы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1547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"http://elibrary.kaznu.kz/ru"</w:instrText>
            </w: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http://elibrary.kaznu.kz/ru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1547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"https://www.gov.kz/memleket/entities/anticorruption?lang=kk"</w:instrText>
            </w:r>
            <w:r>
              <w:rPr>
                <w:rStyle w:val="Hyperlink.3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https://www.gov.kz/memleket/entities/anticorruption?lang=kk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1547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https://</w:t>
            </w:r>
            <w:r>
              <w:rPr>
                <w:rStyle w:val="Hyperlink.4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4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"http://www.transparency.org/"</w:instrText>
            </w:r>
            <w:r>
              <w:rPr>
                <w:rStyle w:val="Hyperlink.4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4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www.transparency.org/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Normal.0"/>
        <w:widowControl w:val="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76" w:lineRule="auto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>
        <w:tblPrEx>
          <w:shd w:val="clear" w:color="auto" w:fill="ced7e7"/>
        </w:tblPrEx>
        <w:trPr>
          <w:trHeight w:val="7122" w:hRule="atLeast"/>
        </w:trPr>
        <w:tc>
          <w:tcPr>
            <w:tcW w:type="dxa" w:w="17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</w:t>
            </w:r>
          </w:p>
        </w:tc>
        <w:tc>
          <w:tcPr>
            <w:tcW w:type="dxa" w:w="87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определяется 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"https://univer.kaznu.kz/Content/instructions/%25D0%2590%25D0%25BA%25D0%25B0%25D0%25B4%25D0%25B5%25D0%25BC%25D0%25B8%25D1%2587%25D0%25B5%25D1%2581%25D0%25BA%25D0%25B0%25D1%258F%2520%25D0%25BF%25D0%25BE%25D0%25BB%25D0%25B8%25D1%2582%25D0%25B8%25D0%25BA%25D0%25B0.pdf"</w:instrTex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Академической политикой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F%25D0%25BE%25D0%25BB%25D0%25B8%25D1%2582%25D0%25B8%25D0%25BA%25D0%25B0%2520%25D0%25B0%25D0%25BA%25D0%25B0%25D0%25B4%25D0%25B5%25D0%25BC%25D0%25B8%25D1%2587%25D0%25B5%25D1%2581%25D0%25BA%25D0%25BE%25D0%25B9%2520%25D1%2587%25D0%25B5%25D1%2581%25D1%2582%25D0%25BD%25D0%25BE%25D1%2581%25D1%2582%25D0%25B8.pdf"</w:instrTex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Политикой академической честности КазНУ имени аль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Фараби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Интеграция науки и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исследовательская работа студентов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магистрантов и докторантов – это углубление учебного процесса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Она организуется непосредственно на кафедрах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лабораториях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научных и проектных подразделениях университета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студенческих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объединениях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исследовательских и информационных технологий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Преподаватель исследовательского университета интегрирует результаты научной деятельности в тематику лекций и семинарских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 занятий и в задания СРОП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которые отражаются в силлабусе и отвечают за актуальность тематик учебных занятий 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Посещаемость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Дедлайн каждого задания указан в календаре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графике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Несоблюдение дедлайнов приводит к потере баллов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1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честность</w:t>
            </w:r>
            <w:r>
              <w:rPr>
                <w:rStyle w:val="Hyperlink.1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лабораторные занятия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 развивают у обучающегося самостоятельность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критическое мышление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креативность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Недопустимы плагиат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подлог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использование шпаргалок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списывание на всех этапах выполнения 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F%25D1%2580%25D0%25B0%25D0%25B2%25D0%25B8%25D0%25BB%25D0%25B0%2520%25D0%25BF%25D1%2580%25D0%25BE%25D0%25B2%25D0%25B5%25D0%25B4%25D0%25B5%25D0%25BD%25D0%25B8%25D1%258F%2520%25D0%25B8%25D1%2582%25D0%25BE%25D0%25B3%25D0%25BE%25D0%25B2%25D0%25BE%25D0%25B3%25D0%25BE%2520%25D0%25BA%25D0%25BE%25D0%25BD%25D1%2582%25D1%2580%25D0%25BE%25D0%25BB%25D1%258F%2520%25D0%259B%25D0%25AD%25D0%25A1%25202022-2023%2520%25D1%2583%25D1%2587%25D0%25B3%25D0%25BE%25D0%25B4%2520%25D1%2580%25D1%2583%25D1%2581%25D1%258F%25D0%25B7%25D1%258B%25D0%25BA%25D0%25B5.pdf"</w:instrTex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«Правила проведения итогового контроля»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2598%25D0%25BD%25D1%2581%25D1%2582%25D1%2580%25D1%2583%25D0%25BA%25D1%2586%25D0%25B8%25D1%258F%2520%25D0%25B4%25D0%25BB%25D1%258F%2520%25D0%25B8%25D1%2582%25D0%25BE%25D0%25B3%25D0%25BE%25D0%25B2%25D0%25BE%25D0%25B3%25D0%25BE%2520%25D0%25BA%25D0%25BE%25D0%25BD%25D1%2582%25D1%2580%25D0%25BE%25D0%25BB%25D1%258F%2520%25D0%25B2%25D0%25B5%25D1%2581%25D0%25B5%25D0%25BD%25D0%25BD%25D0%25B5%25D0%25B3%25D0%25BE%2520%25D1%2581%25D0%25B5%25D0%25BC%25D0%25B5%25D1%2581%25D1%2582%25D1%2580%25D0%25B0%25202022-2023.pdf"</w:instrTex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«Инструкции для проведения итогового контроля осеннего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весеннего семестра текущего учебного года»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5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«Положение о проверке текстовых документов обучающихся на наличие заимствований»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принципы инклюзивного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Образовательная среда университета задумана как безопасное место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где всегда присутствуют поддержка и равное отношение со стороны преподавателя ко всем обучающимся и обучающихся друг к другу независимо от гендерной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расовой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этнической принадлежности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религиозных убеждений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экономического статуса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физического здоровья студента и др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Все люди нуждаются в поддержке и дружбе ровесников и сокурсников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Для всех студентов достижение прогресса скорее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они могут делать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чем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не могут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Разнообразие усиливает все стороны жизни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Все обучающиеся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особенно с ограниченными возможностями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могут получать консультативную помощь по телефону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aselya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sharipova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ru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О ПРЕПОДАВАНИИ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ОБУЧЕНИИ И ОЦЕНИВАНИИ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49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Балльно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рейтинговая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Методы оценивания</w:t>
            </w:r>
          </w:p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Цифровой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эквивалент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Баллы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содержание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</w:p>
        </w:tc>
        <w:tc>
          <w:tcPr>
            <w:tcW w:type="dxa" w:w="55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Критериальное оценивание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Основано на формативном и суммативном оценивании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Формативное оценивание –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в ходе повседневной учебной деятельности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Является текущим показателем успеваемости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Обеспечивает оперативную взаимосвязь между обучающимся и преподавателем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определить возможности обучающегося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выявить трудности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помочь в достижении наилучших результатов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своевременно корректировать преподавателю образовательный процесс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Оценивается выполнение заданий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активность работы в аудитории во время лекций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практических занятий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дискуссии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викторины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дебаты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круглые столы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лабораторные работы и т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приобретенные знания и компетенции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Суммативное оценивание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по завершению изучения раздела в соответствии с программой дисциплины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Проводится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раза за семестр при выполнении СРО</w:t>
            </w:r>
            <w:r>
              <w:rPr>
                <w:rStyle w:val="Нет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Это оценивание освоения ожидаемых результатов обучения в соотнесенности с дескрипторами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определять и фиксировать уровень освоения дисциплины за определенный период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результаты обучения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95-100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Отлично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A-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2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B+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Хорошо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Формативное и суммативное оценивание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содержание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B-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C+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Работа на практических занятиях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C-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Проектная и творческая деятельность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D+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                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                                      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100 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8"/>
                <w:szCs w:val="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Календарь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график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Методы преподавания и обучения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5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1"/>
        <w:gridCol w:w="8050"/>
        <w:gridCol w:w="861"/>
        <w:gridCol w:w="726"/>
      </w:tblGrid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127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алл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5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Модуль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Антикоррупционная политика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Понятие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 ее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правовые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последствия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Цель</w:t>
            </w:r>
            <w:r>
              <w:rPr>
                <w:rStyle w:val="Нет"/>
                <w:spacing w:val="3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34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3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,</w:t>
            </w:r>
            <w:r>
              <w:rPr>
                <w:rStyle w:val="Нет"/>
                <w:spacing w:val="38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основные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принципы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История развития противодействия 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Борьба</w:t>
            </w:r>
            <w:r>
              <w:rPr>
                <w:rStyle w:val="Нет"/>
                <w:b w:val="0"/>
                <w:bCs w:val="0"/>
                <w:spacing w:val="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pacing w:val="4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  в</w:t>
            </w:r>
            <w:r>
              <w:rPr>
                <w:rStyle w:val="Нет"/>
                <w:b w:val="0"/>
                <w:bCs w:val="0"/>
                <w:spacing w:val="52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советское</w:t>
            </w:r>
            <w:r>
              <w:rPr>
                <w:rStyle w:val="Нет"/>
                <w:b w:val="0"/>
                <w:bCs w:val="0"/>
                <w:spacing w:val="4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время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pacing w:val="54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Роль</w:t>
            </w:r>
            <w:r>
              <w:rPr>
                <w:rStyle w:val="Нет"/>
                <w:b w:val="0"/>
                <w:bCs w:val="0"/>
                <w:spacing w:val="5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Ли</w:t>
            </w:r>
            <w:r>
              <w:rPr>
                <w:rStyle w:val="Нет"/>
                <w:b w:val="0"/>
                <w:bCs w:val="0"/>
                <w:spacing w:val="4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Хуан  Ю</w:t>
            </w:r>
            <w:r>
              <w:rPr>
                <w:rStyle w:val="Нет"/>
                <w:b w:val="0"/>
                <w:bCs w:val="0"/>
                <w:spacing w:val="5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b w:val="0"/>
                <w:bCs w:val="0"/>
                <w:spacing w:val="52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борьбе</w:t>
            </w:r>
            <w:r>
              <w:rPr>
                <w:rStyle w:val="Нет"/>
                <w:b w:val="0"/>
                <w:bCs w:val="0"/>
                <w:spacing w:val="4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РО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Консультация</w:t>
            </w:r>
            <w:r>
              <w:rPr>
                <w:rStyle w:val="Нет"/>
                <w:outline w:val="0"/>
                <w:color w:val="000000"/>
                <w:spacing w:val="66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000000"/>
                <w:spacing w:val="63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выполнению</w:t>
            </w:r>
            <w:r>
              <w:rPr>
                <w:rStyle w:val="Нет"/>
                <w:outline w:val="0"/>
                <w:color w:val="000000"/>
                <w:spacing w:val="66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СРС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Style w:val="Нет"/>
                <w:outline w:val="0"/>
                <w:color w:val="000000"/>
                <w:spacing w:val="71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000000"/>
                <w:spacing w:val="66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тему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Нет"/>
                <w:outline w:val="0"/>
                <w:color w:val="000000"/>
                <w:spacing w:val="7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«Антикоррупционная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политика»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политика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проводимая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Республике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Казахстан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Нормативные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правовые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акты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регламентирующие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вопросы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СРО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1. 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презентация</w:t>
            </w:r>
            <w:r>
              <w:rPr>
                <w:rStyle w:val="Нет"/>
                <w:outline w:val="0"/>
                <w:color w:val="000000"/>
                <w:spacing w:val="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«Антикоррупционная</w:t>
            </w:r>
            <w:r>
              <w:rPr>
                <w:rStyle w:val="Нет"/>
                <w:outline w:val="0"/>
                <w:color w:val="000000"/>
                <w:spacing w:val="-1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политика»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Субъекты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Деятельность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Взаимодействие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государственных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органов в борьбе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Консультация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выполнению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СР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2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служба»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служба и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участие общественности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противодействи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я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Роль общественного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контроля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борьбе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культура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резентация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служба»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Виды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уголовных правонарушений и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наказания за их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совершение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Квалификация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правонарушений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совершение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уголовных правонарушений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3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Консультация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выполнению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СР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3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 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«Деятельность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Transparency</w:t>
            </w:r>
            <w:r>
              <w:rPr>
                <w:rStyle w:val="Нет"/>
                <w:b w:val="0"/>
                <w:bCs w:val="0"/>
                <w:spacing w:val="-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International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 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профилактике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Виктимология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правонарушений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стратегия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Республики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Казахстан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10" w:lineRule="exact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СРО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презентация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«Деятельность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Transparency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International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»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5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противодействия коррупции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Сингапурский опыт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 коррупционные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Сингапуре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преступлений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Сингапуре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резентация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«Международный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 Грузии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противодействию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 коррупционные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Грузии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Грузии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 Китая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 Японии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 за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 в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Китае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Японии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Китае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Японии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СРО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резентация</w:t>
            </w:r>
            <w:r>
              <w:rPr>
                <w:rStyle w:val="Нет"/>
                <w:outline w:val="0"/>
                <w:color w:val="000000"/>
                <w:spacing w:val="-5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«Международные</w:t>
            </w:r>
            <w:r>
              <w:rPr>
                <w:rStyle w:val="Нет"/>
                <w:outline w:val="0"/>
                <w:color w:val="000000"/>
                <w:spacing w:val="-7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организации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000000"/>
                <w:spacing w:val="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противодействующие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коррупции»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 США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 Канады 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 за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 в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Китае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Японии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Китае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Японии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Великобритании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противодействию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 в Великобритании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преступлений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Великобритании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Консультация</w:t>
            </w:r>
            <w:r>
              <w:rPr>
                <w:rStyle w:val="Нет"/>
                <w:b w:val="0"/>
                <w:bCs w:val="0"/>
                <w:spacing w:val="1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выполнению</w:t>
            </w:r>
            <w:r>
              <w:rPr>
                <w:rStyle w:val="Нет"/>
                <w:b w:val="0"/>
                <w:bCs w:val="0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СР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b w:val="0"/>
                <w:bCs w:val="0"/>
                <w:spacing w:val="1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pacing w:val="10"/>
                <w:sz w:val="20"/>
                <w:szCs w:val="20"/>
                <w:rtl w:val="0"/>
                <w:lang w:val="ru-RU"/>
              </w:rPr>
              <w:t>6</w:t>
            </w:r>
            <w:r>
              <w:rPr>
                <w:rStyle w:val="Нет"/>
                <w:b w:val="0"/>
                <w:bCs w:val="0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</w:t>
            </w:r>
            <w:r>
              <w:rPr>
                <w:rStyle w:val="Нет"/>
                <w:b w:val="0"/>
                <w:bCs w:val="0"/>
                <w:spacing w:val="1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Style w:val="Нет"/>
                <w:b w:val="0"/>
                <w:bCs w:val="0"/>
                <w:spacing w:val="1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0"/>
                <w:bCs w:val="0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«Роль</w:t>
            </w:r>
            <w:r>
              <w:rPr>
                <w:rStyle w:val="Нет"/>
                <w:b w:val="0"/>
                <w:bCs w:val="0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ООН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борьбе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2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Финляндии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противодействии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 в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Финляндии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Финляндии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«Уголовная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совершение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уголовных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правонарушений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рубежом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Опыт Российской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Федерации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противодействию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Ответственность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за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преступления в Российской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Федерации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Меры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предупреждению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Финляндии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Консультация</w:t>
            </w:r>
            <w:r>
              <w:rPr>
                <w:rStyle w:val="Нет"/>
                <w:b w:val="0"/>
                <w:bCs w:val="0"/>
                <w:spacing w:val="1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выполнению</w:t>
            </w:r>
            <w:r>
              <w:rPr>
                <w:rStyle w:val="Нет"/>
                <w:b w:val="0"/>
                <w:bCs w:val="0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СР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b w:val="0"/>
                <w:bCs w:val="0"/>
                <w:spacing w:val="1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7</w:t>
            </w:r>
            <w:r>
              <w:rPr>
                <w:rStyle w:val="Нет"/>
                <w:b w:val="0"/>
                <w:bCs w:val="0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</w:t>
            </w:r>
            <w:r>
              <w:rPr>
                <w:rStyle w:val="Нет"/>
                <w:b w:val="0"/>
                <w:bCs w:val="0"/>
                <w:spacing w:val="1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Style w:val="Нет"/>
                <w:b w:val="0"/>
                <w:bCs w:val="0"/>
                <w:spacing w:val="1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0"/>
                <w:bCs w:val="0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«Роль</w:t>
            </w:r>
            <w:r>
              <w:rPr>
                <w:rStyle w:val="Нет"/>
                <w:b w:val="0"/>
                <w:bCs w:val="0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ООН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борьбе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Роль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международных антикоррупционных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организаций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Роль международных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антикоррупционных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организаций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презентация «Роль ООН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борьбе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коррупцией»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за дисциплину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276"/>
        </w:tabs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jc w:val="both"/>
        <w:rPr>
          <w:rStyle w:val="eop"/>
          <w:sz w:val="20"/>
          <w:szCs w:val="20"/>
        </w:rPr>
      </w:pP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Декан                                                                                                                              Байдельдинов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Л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   </w:t>
      </w: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                                                                        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Заведующий кафедрой                                                                                                Джансараева Р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Е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spacing w:after="12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Лектор                                                                                                                           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Абдрахманов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С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РУБРИКАТОР СУММАТИВНОГО ОЦЕНИВАНИЯ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Оформляется по желанию преподавателя для каждого запланированного суммативного оценивания 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СРО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</w:p>
    <w:p>
      <w:pPr>
        <w:pStyle w:val="paragraph"/>
        <w:spacing w:before="0" w:after="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ШАБЛОН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Normal.0"/>
        <w:tabs>
          <w:tab w:val="left" w:pos="1276"/>
        </w:tabs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Название задания</w:t>
      </w:r>
      <w:r>
        <w:rPr>
          <w:rStyle w:val="Нет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баллы</w:t>
      </w:r>
      <w:r>
        <w:rPr>
          <w:rStyle w:val="Нет"/>
          <w:sz w:val="20"/>
          <w:szCs w:val="20"/>
          <w:rtl w:val="0"/>
          <w:lang w:val="ru-RU"/>
        </w:rPr>
        <w:t xml:space="preserve">, % </w:t>
      </w:r>
      <w:r>
        <w:rPr>
          <w:rStyle w:val="Нет"/>
          <w:sz w:val="20"/>
          <w:szCs w:val="20"/>
          <w:rtl w:val="0"/>
          <w:lang w:val="ru-RU"/>
        </w:rPr>
        <w:t xml:space="preserve">содержание от </w:t>
      </w:r>
      <w:r>
        <w:rPr>
          <w:rStyle w:val="Нет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sz w:val="20"/>
          <w:szCs w:val="20"/>
          <w:rtl w:val="0"/>
          <w:lang w:val="ru-RU"/>
        </w:rPr>
        <w:t>РК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копировать из календаря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графика</w:t>
      </w:r>
      <w:r>
        <w:rPr>
          <w:rStyle w:val="Нет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реализации содержания дисциплины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методы преподавания и обучения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tbl>
      <w:tblPr>
        <w:tblW w:w="148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2835"/>
        <w:gridCol w:w="3105"/>
        <w:gridCol w:w="3255"/>
        <w:gridCol w:w="3960"/>
      </w:tblGrid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rPr>
          <w:rStyle w:val="Нет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1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Письменное задание «Моя профессиональная история»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(25%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148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3"/>
        <w:gridCol w:w="2803"/>
        <w:gridCol w:w="2657"/>
        <w:gridCol w:w="3503"/>
        <w:gridCol w:w="3360"/>
      </w:tblGrid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20-25 %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 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10-15%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0-10%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 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концепций профессиональной идентичности и профессионализма педагога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соответствующие и релевантные ссылки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ссылки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ограниченные ссылки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предоставляются соответствующие ссылки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цитаты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4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Осознание ключевых вопросов профессиональной идентичности и профессионализма учителей в Казахстане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Хорошо связывает ключевые понятия профессиональной идентичности и профессионализма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Связывает концепции профессиональной идентичности и профессионализма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Подкрепляет аргументы доказательствами эмпирического исследования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связь концепций профессиональной идентичности и профессионализма учителей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или отсутствуют связь концепций профессиональной идентичности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использует эмпирические исследования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практические рекомендации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грамотные политические 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Письмо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стиль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правильность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Строго следует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корректность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основном следует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APA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 письме есть некоторые ключевые ошибки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 ясность нуждается в улучшении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Есть ошибки в следовании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Написанное неясно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трудно следовать за содержанием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Много ошибок в следовании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rPr>
          <w:rStyle w:val="Нет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   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2.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Групповая презентация «Профессия учителя в Казахстане» 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7"/>
        <w:gridCol w:w="1874"/>
        <w:gridCol w:w="1793"/>
        <w:gridCol w:w="1980"/>
        <w:gridCol w:w="2165"/>
      </w:tblGrid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42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Присутствует связь концепций профессиональной идентичности учителя и профессии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Аргументы подкреплены доказательствами эмпирического исследования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соотношение профессиональной идентичности учителя и концепций профессии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связь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связи концепций профессиональной идентичности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используются эмпирические исследования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Пилотное исследование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использование результатов пилотных исследований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Хорошее использование результатов пилотных исследований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Удовлетворительное использование результатов пилотных исследований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Плохое использование результатов пилотных исследований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практических рекомендаций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Предлагает очень хорошую политику 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командная работа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Отличная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привлекательная презентация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отличное качество визуальных эффектов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слайдов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материалов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отличная командная работа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Хорошая вовлеченность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хорошее качество визуальных эффектов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слайдов или других материалов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хороший уровень командной работы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вовлеченности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удовлетворительное качество материалов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командной работы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Низкий уровень вовлеченности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низкое качество материалов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плохой уровень командной работы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jc w:val="both"/>
        <w:rPr>
          <w:rStyle w:val="Нет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</w:pPr>
      <w:r>
        <w:rPr>
          <w:rStyle w:val="eop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8" w:right="850" w:bottom="1418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47"/>
        </w:tabs>
        <w:ind w:left="446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44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3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4">
    <w:name w:val="Hyperlink.4"/>
    <w:basedOn w:val="Нет"/>
    <w:next w:val="Hyperlink.4"/>
    <w:rPr>
      <w:rFonts w:ascii="Times New Roman" w:cs="Times New Roman" w:hAnsi="Times New Roman" w:eastAsia="Times New Roman"/>
      <w:shd w:val="nil" w:color="auto" w:fill="auto"/>
      <w:lang w:val="ru-RU"/>
    </w:rPr>
  </w:style>
  <w:style w:type="character" w:styleId="Hyperlink.5">
    <w:name w:val="Hyperlink.5"/>
    <w:basedOn w:val="Hyperlink.1"/>
    <w:next w:val="Hyperlink.5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eop">
    <w:name w:val="eop"/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